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820"/>
        <w:gridCol w:w="3686"/>
      </w:tblGrid>
      <w:tr w:rsidR="002C0B0E" w14:paraId="7AB918E8" w14:textId="77777777" w:rsidTr="00536C6C">
        <w:trPr>
          <w:trHeight w:val="1701"/>
        </w:trPr>
        <w:tc>
          <w:tcPr>
            <w:tcW w:w="4820" w:type="dxa"/>
            <w:tcMar>
              <w:top w:w="624" w:type="dxa"/>
              <w:left w:w="0" w:type="dxa"/>
              <w:bottom w:w="0" w:type="dxa"/>
              <w:right w:w="0" w:type="dxa"/>
            </w:tcMar>
          </w:tcPr>
          <w:p w14:paraId="562B84F7" w14:textId="77777777" w:rsidR="002C0B0E" w:rsidRDefault="00D1002E" w:rsidP="00536C6C">
            <w:r>
              <w:t>OTSUS</w:t>
            </w:r>
          </w:p>
          <w:p w14:paraId="5E98CDAC" w14:textId="77777777" w:rsidR="00AF2B3A" w:rsidRDefault="00AF2B3A" w:rsidP="00536C6C">
            <w:r>
              <w:t>Väljaandmise koht</w:t>
            </w:r>
          </w:p>
        </w:tc>
        <w:tc>
          <w:tcPr>
            <w:tcW w:w="3686" w:type="dxa"/>
            <w:tcMar>
              <w:top w:w="0" w:type="dxa"/>
              <w:left w:w="0" w:type="dxa"/>
              <w:bottom w:w="0" w:type="dxa"/>
              <w:right w:w="0" w:type="dxa"/>
            </w:tcMar>
          </w:tcPr>
          <w:p w14:paraId="27172670" w14:textId="77777777" w:rsidR="00AF2B3A" w:rsidRDefault="00AF2B3A" w:rsidP="00AF2B3A"/>
          <w:p w14:paraId="3E2A6031" w14:textId="77777777" w:rsidR="002C0B0E" w:rsidRDefault="00D1002E" w:rsidP="00AF2B3A">
            <w:r>
              <w:t>kuupäev nr</w:t>
            </w:r>
          </w:p>
        </w:tc>
      </w:tr>
    </w:tbl>
    <w:p w14:paraId="08ABE4A8" w14:textId="5D60625C" w:rsidR="001B2C63" w:rsidRPr="001B2C63" w:rsidRDefault="001B2C63" w:rsidP="001B2C63">
      <w:pPr>
        <w:rPr>
          <w:b/>
          <w:bCs/>
        </w:rPr>
      </w:pPr>
      <w:r w:rsidRPr="001B2C63">
        <w:rPr>
          <w:b/>
          <w:bCs/>
        </w:rPr>
        <w:t>Detailplaneeringu algatamine (Pärnu-Jaagupi päikesepark)</w:t>
      </w:r>
    </w:p>
    <w:p w14:paraId="79339A1B" w14:textId="77777777" w:rsidR="009972CF" w:rsidRPr="001B2C63" w:rsidRDefault="009972CF" w:rsidP="00536C6C">
      <w:pPr>
        <w:rPr>
          <w:b/>
          <w:bCs/>
        </w:rPr>
      </w:pPr>
    </w:p>
    <w:p w14:paraId="4BABF758" w14:textId="77777777" w:rsidR="00ED791B" w:rsidRPr="00B15CF3" w:rsidRDefault="00ED791B" w:rsidP="00536C6C"/>
    <w:p w14:paraId="3DD01EBF" w14:textId="77777777" w:rsidR="001B2C63" w:rsidRDefault="001B2C63" w:rsidP="001B2C63"/>
    <w:p w14:paraId="7438509D" w14:textId="77777777" w:rsidR="001B2C63" w:rsidRDefault="001B2C63" w:rsidP="001B2C63">
      <w:pPr>
        <w:jc w:val="both"/>
      </w:pPr>
      <w:r>
        <w:t xml:space="preserve"> Eestis riigi strateegilistes dokumentides: Kliimapoliitika põhialused aastani 2050; Eesti pikaajaline strateegia „Eesti 2035“; Eesti energiamajanduse arengukava 2030+ (ENMAK); Eesti kliimamuutustega kohanemise arengukava aastani 2030 on seatud fossiilse energia kasutamiselt taastuvenergeetikale ülemineku, kliimamuutustega kohanemise ja energiajulgeoleku suurendamise eesmärgid. Seatud eesmärgid on pingelised, millest tulenevalt omab taastuvenergeetika arendamine laia avalikku huvi. Üheks võimaluseks taastuvenergeetika arendamisel on päikeseenergia kasutusele võtmine elektrienergia tootmiseks.</w:t>
      </w:r>
    </w:p>
    <w:p w14:paraId="2F797EF6" w14:textId="77777777" w:rsidR="001B2C63" w:rsidRDefault="001B2C63" w:rsidP="001B2C63">
      <w:pPr>
        <w:jc w:val="both"/>
      </w:pPr>
      <w:r>
        <w:t>Enefit GREEN SOLAR OÜ teeb ettepaneku algatada ühine detailplaneering Põhja-Pärnumaa vallas Arase külas asuvatele Vahepõllu (18802:001:0218, ca 17 ha), Ansupõllu (18801:001:0381, ca 10 ha), Nuki (18802:001:0204, ca 18ha ), Vaheaasa (18802:001:026, ca 9 ha), Aasa külas asuvale Jõeääre  (18802:001:0326, ca 16 ha) ja Tarva külas asuvatele Kubjapõllu (18803:001:0179, ca 19 ha) ning Kalda (63801:001:1045, ca 38 ha) kinnistutele. Taotletav ala kokku on ca 127 ha.</w:t>
      </w:r>
    </w:p>
    <w:p w14:paraId="63087ACF" w14:textId="77777777" w:rsidR="001B2C63" w:rsidRDefault="001B2C63" w:rsidP="001B2C63">
      <w:pPr>
        <w:jc w:val="both"/>
      </w:pPr>
      <w:r>
        <w:t>Detailplaneeringuga soovib taotleja rajada päikeseelektrijaam(ad) ja nendega kaasneva taristu (sh alajaamad), teenindavad tehnilised kommunikatsioonid ja salvestusjaamad.</w:t>
      </w:r>
    </w:p>
    <w:p w14:paraId="575C3010" w14:textId="77777777" w:rsidR="001B2C63" w:rsidRDefault="001B2C63" w:rsidP="001B2C63">
      <w:pPr>
        <w:jc w:val="both"/>
      </w:pPr>
      <w:r>
        <w:t>Päikesejaamade koguvõimsuseks planeeritakse 70MW.</w:t>
      </w:r>
    </w:p>
    <w:p w14:paraId="06ACBFFD" w14:textId="77777777" w:rsidR="001B2C63" w:rsidRDefault="001B2C63" w:rsidP="001B2C63">
      <w:pPr>
        <w:jc w:val="both"/>
      </w:pPr>
      <w:r>
        <w:t>Planeeringu vastavus üldplaneeringule: Kehtivas Halinga valla üldplaneeringus ei ole planeeringualal juhtfunktsioone määratud, kuna taotletav ala asub hajaasustuse piirkonnas. Teadaolevad tootmismaad on üldplaneeringus näidatud ka hajaasustuses. Üldplaneeringus ei ole päikeseelektrijaamade teemat üldse käsitletud. Küll on määratud tingimused uute tootmisalade kohta:</w:t>
      </w:r>
    </w:p>
    <w:p w14:paraId="2C4E0F26" w14:textId="77777777" w:rsidR="001B2C63" w:rsidRDefault="001B2C63" w:rsidP="001B2C63">
      <w:pPr>
        <w:jc w:val="both"/>
      </w:pPr>
      <w:r>
        <w:t>1.</w:t>
      </w:r>
      <w:r>
        <w:tab/>
        <w:t>uute äri-ja tootmisobjektide kavandamisel eelistatakse keskkonnasõbralikku tootmist, hoidudes suure jäätmetootluse, müra, õhusaaste jm negatiivse keskkonnamõjuga seotud ettevõtlusest;</w:t>
      </w:r>
    </w:p>
    <w:p w14:paraId="49A7EE29" w14:textId="77777777" w:rsidR="001B2C63" w:rsidRDefault="001B2C63" w:rsidP="001B2C63">
      <w:pPr>
        <w:jc w:val="both"/>
      </w:pPr>
      <w:r>
        <w:t>2.</w:t>
      </w:r>
      <w:r>
        <w:tab/>
        <w:t>äri- ja tootmismaa ning elamumaa piirkonnad eraldatakse kaitsehaljastusega.</w:t>
      </w:r>
    </w:p>
    <w:p w14:paraId="4A686E11" w14:textId="77777777" w:rsidR="001B2C63" w:rsidRDefault="001B2C63" w:rsidP="001B2C63">
      <w:pPr>
        <w:jc w:val="both"/>
      </w:pPr>
      <w:r>
        <w:t>Koostatavas Põhja-Pärnumaa valla üldplaneeringus on ala juhtotstarve maalise asustuse maa-ala.</w:t>
      </w:r>
    </w:p>
    <w:p w14:paraId="23534D7B" w14:textId="77777777" w:rsidR="001B2C63" w:rsidRDefault="001B2C63" w:rsidP="001B2C63">
      <w:pPr>
        <w:jc w:val="both"/>
      </w:pPr>
      <w:r>
        <w:t xml:space="preserve">Detailplaneering on kehtivat üldplaneeringut muutev, kuna aladel puudub tootmismaa juhtotstarve. </w:t>
      </w:r>
    </w:p>
    <w:p w14:paraId="4DD03037" w14:textId="77777777" w:rsidR="001B2C63" w:rsidRDefault="001B2C63" w:rsidP="001B2C63">
      <w:pPr>
        <w:jc w:val="both"/>
      </w:pPr>
      <w:r>
        <w:t xml:space="preserve">Keskkonnamõju hindamise ja keskkonnajuhtimissüsteemi seaduse (edaspidi KeHJS) § 6 lg 1 on esitatud olulise keskkonnamõjuga tegevused, mille puhul on keskkonnamõju </w:t>
      </w:r>
      <w:r>
        <w:lastRenderedPageBreak/>
        <w:t>hindamine kohustuslik. Planeeringualal kavandatav tegevus ei vasta ühelegi KeHJS § 6 lg 1 välja toodud tegevusele, tegevus kuulub KeHJS § 6 lg 2 p 3 „energeetika“ alla, mille korral on vajalik anda eelhinnang selgitamaks välja, kas tegevusega võib kaasneda oluline keskkonnamõju. Kavandataval tegevusel puudub otsene seos Vabariigi Valitsuse 29.08.2005. a määrusega nr 224 „Tegevusvaldkondade, mille korral tuleb anda keskkonnamõju hindamise vajalikkuse eelhinnang, täpsustatud loetelu“, kuivõrd määrus ei loetle § 2 (Energeetika) päikeseelektrijaama, kui tegevusvaldkonda, mille puhul tuleb anda keskkonnamõju hindamise vajalikkuse eelhinnang. Küll aga toob välja : Keskkonnamõju hindamise ja keskkonnajuhtimissüsteemi seaduse § 6 lõikes 1 ning käesolevas määruses nimetamata juhul - tööstuspiirkonna arendamine, kuna tegemist on väga suuremahulise päikesejaama alaga koos salvestusjaamadega.</w:t>
      </w:r>
    </w:p>
    <w:p w14:paraId="46D6813A" w14:textId="77777777" w:rsidR="001B2C63" w:rsidRDefault="001B2C63" w:rsidP="001B2C63">
      <w:pPr>
        <w:jc w:val="both"/>
      </w:pPr>
    </w:p>
    <w:p w14:paraId="2E286058" w14:textId="77777777" w:rsidR="001B2C63" w:rsidRDefault="001B2C63" w:rsidP="001B2C63">
      <w:pPr>
        <w:jc w:val="both"/>
      </w:pPr>
      <w:r>
        <w:t>Päikeseelektrijaama rajamine on eeldatavalt keskkonnale ohutu ning ei põhjusta keskkonnas pöördumatuid muutusi ei ohusta inimeste tervist ja heaolu.</w:t>
      </w:r>
    </w:p>
    <w:p w14:paraId="5E04D460" w14:textId="77777777" w:rsidR="001B2C63" w:rsidRDefault="001B2C63" w:rsidP="001B2C63">
      <w:pPr>
        <w:jc w:val="both"/>
      </w:pPr>
      <w:r>
        <w:t xml:space="preserve"> Päikseelektrijaama lammutamise järgselt on võimalik selle all olevat maad kasutada jaama ehitamise eelsel otstarbel.</w:t>
      </w:r>
    </w:p>
    <w:p w14:paraId="7A5460DB" w14:textId="77777777" w:rsidR="001B2C63" w:rsidRDefault="001B2C63" w:rsidP="001B2C63">
      <w:pPr>
        <w:jc w:val="both"/>
      </w:pPr>
      <w:r>
        <w:t>Detailplaneeringu avaldusele on lisatud Kobras OÜ poolt 2024 novembris koostatud töö nr 2024-271: „Pärnu-Jaagupi päikeseelektrijaama maastikuanalüüs“ ja abistava sisendi keskkonnamõjude eelhinnangule panid kokku  OÜ Hendrikson DGE eksperdid.</w:t>
      </w:r>
    </w:p>
    <w:p w14:paraId="1214A6AD" w14:textId="77777777" w:rsidR="001B2C63" w:rsidRDefault="001B2C63" w:rsidP="001B2C63">
      <w:pPr>
        <w:jc w:val="both"/>
      </w:pPr>
      <w:r>
        <w:t>Analüüsi tulemused on leitavad detailplaneeringu lähteseisukohtadest: Ettepanekud detailplaneeringu koostamiseks.</w:t>
      </w:r>
    </w:p>
    <w:p w14:paraId="3D4AEABA" w14:textId="77777777" w:rsidR="001B2C63" w:rsidRDefault="001B2C63" w:rsidP="001B2C63">
      <w:pPr>
        <w:jc w:val="both"/>
      </w:pPr>
      <w:r>
        <w:t xml:space="preserve">Jõeääre kinnistu, mis on kasutusel püsirohumaana ning jääb lisaks ka rohelise võrgustiku koridori, on ajalooliselt olnud üks väheseid avatud alasid küla idaosas. Seega toetab ka maastikuanalüüs KMH eelhinnangu seisukohta, et Jõeääre kinnistu on jäetud päikesepargi koosseisust välja. </w:t>
      </w:r>
    </w:p>
    <w:p w14:paraId="7E1BBE07" w14:textId="77777777" w:rsidR="001B2C63" w:rsidRDefault="001B2C63" w:rsidP="001B2C63">
      <w:pPr>
        <w:jc w:val="both"/>
      </w:pPr>
      <w:r>
        <w:t>Lähtudes maastikuanalüüsist ja KSH eelhinnangust on vähendatud ka taotletavat planeeringuala ( vt. lisa 2 asendiskeem).</w:t>
      </w:r>
    </w:p>
    <w:p w14:paraId="0956184B" w14:textId="77777777" w:rsidR="001B2C63" w:rsidRPr="001B2C63" w:rsidRDefault="001B2C63" w:rsidP="001B2C63">
      <w:pPr>
        <w:jc w:val="both"/>
        <w:rPr>
          <w:color w:val="FF0000"/>
        </w:rPr>
      </w:pPr>
      <w:r w:rsidRPr="001B2C63">
        <w:rPr>
          <w:color w:val="FF0000"/>
        </w:rPr>
        <w:t>Eelnõu on saadetud kooskõlastamiseks ja arvamuse avaldamiseks Kliimaministeeriumile, Maa- ja ruumiametile, Põllumajandus- ja Toiduametile, Keskkonnaametile, Päästeametile ja Transpordiametile ning isikutele, kelle huve võib antud detailplaneering puudutada.</w:t>
      </w:r>
    </w:p>
    <w:p w14:paraId="46EEB190" w14:textId="77777777" w:rsidR="001B2C63" w:rsidRPr="001B2C63" w:rsidRDefault="001B2C63" w:rsidP="001B2C63">
      <w:pPr>
        <w:jc w:val="both"/>
        <w:rPr>
          <w:color w:val="FF0000"/>
        </w:rPr>
      </w:pPr>
      <w:r w:rsidRPr="001B2C63">
        <w:rPr>
          <w:color w:val="FF0000"/>
        </w:rPr>
        <w:t>Vastused:</w:t>
      </w:r>
    </w:p>
    <w:p w14:paraId="4E1EC39E" w14:textId="77777777" w:rsidR="001B2C63" w:rsidRPr="001B2C63" w:rsidRDefault="001B2C63" w:rsidP="001B2C63">
      <w:pPr>
        <w:jc w:val="both"/>
        <w:rPr>
          <w:color w:val="FF0000"/>
        </w:rPr>
      </w:pPr>
      <w:r w:rsidRPr="001B2C63">
        <w:rPr>
          <w:color w:val="FF0000"/>
        </w:rPr>
        <w:t>Käesoleva otsusega kinnitatakse planeeringualale sobilikud kinnistud (kõik osaliselt):</w:t>
      </w:r>
    </w:p>
    <w:p w14:paraId="0D436A3B" w14:textId="77777777" w:rsidR="001B2C63" w:rsidRPr="001B2C63" w:rsidRDefault="001B2C63" w:rsidP="001B2C63">
      <w:pPr>
        <w:jc w:val="both"/>
        <w:rPr>
          <w:color w:val="FF0000"/>
        </w:rPr>
      </w:pPr>
      <w:r w:rsidRPr="001B2C63">
        <w:rPr>
          <w:color w:val="FF0000"/>
        </w:rPr>
        <w:t>Põhja-Pärnumaa vallas Arase külas asuvatele Vahepõllu (18802:001:0218, ca 17 ha), Ansupõllu (18801:001:0381, ca 10 ha), Nuki (18802:001:0204, ca 18ha ), Vaheaasa (18802:001:026, ca 9 ha), ja Tarva külas asuvatele Kubjapõllu (18803:001:0179, ca 19 ha) ning Kalda (63801:001:1045, ca 38 ha) kinnistutele.</w:t>
      </w:r>
    </w:p>
    <w:p w14:paraId="6E4F0723" w14:textId="77777777" w:rsidR="001B2C63" w:rsidRPr="001B2C63" w:rsidRDefault="001B2C63" w:rsidP="001B2C63">
      <w:pPr>
        <w:jc w:val="both"/>
        <w:rPr>
          <w:color w:val="FF0000"/>
        </w:rPr>
      </w:pPr>
      <w:r w:rsidRPr="001B2C63">
        <w:rPr>
          <w:color w:val="FF0000"/>
        </w:rPr>
        <w:t>Planeeringuala Tarva külas on ca….. ja  Arase külas on ca…..</w:t>
      </w:r>
    </w:p>
    <w:p w14:paraId="68D1C246" w14:textId="77777777" w:rsidR="001B2C63" w:rsidRDefault="001B2C63" w:rsidP="001B2C63">
      <w:pPr>
        <w:jc w:val="both"/>
      </w:pPr>
    </w:p>
    <w:p w14:paraId="5216DB4F" w14:textId="77777777" w:rsidR="001B2C63" w:rsidRDefault="001B2C63" w:rsidP="001B2C63">
      <w:pPr>
        <w:jc w:val="both"/>
      </w:pPr>
      <w:r>
        <w:t>Detailplaneeringu koostamise algataja, vastuvõtja  ja kehtestaja on Põhja-Pärnumaa Vallavolikogu.</w:t>
      </w:r>
    </w:p>
    <w:p w14:paraId="51E84468" w14:textId="77777777" w:rsidR="001B2C63" w:rsidRDefault="001B2C63" w:rsidP="001B2C63">
      <w:pPr>
        <w:jc w:val="both"/>
      </w:pPr>
      <w:r>
        <w:t>Arvestades eeltoodut ning kohaliku omavalitsuse korralduse seaduse § 6 lõike 1, planeerimisseaduse § 128 lõike 1, Planeerimisseaduse ja ehitusseadustiku rakendamine Põhja-Pärnumaa vallas §2 lg 2  alusel:</w:t>
      </w:r>
    </w:p>
    <w:p w14:paraId="56953A66" w14:textId="77777777" w:rsidR="001B2C63" w:rsidRDefault="001B2C63" w:rsidP="001B2C63">
      <w:pPr>
        <w:jc w:val="both"/>
      </w:pPr>
      <w:r>
        <w:t>1.</w:t>
      </w:r>
      <w:r>
        <w:tab/>
        <w:t>Algatada Põhja-Pärnumaa vallas Pärnu-Jaagupi päikesepargi detailplaneering ja jätta algatamata keskkonnamõju strateegiline hindamine (KSH).</w:t>
      </w:r>
    </w:p>
    <w:p w14:paraId="35EE351F" w14:textId="77777777" w:rsidR="001B2C63" w:rsidRDefault="001B2C63" w:rsidP="001B2C63">
      <w:pPr>
        <w:jc w:val="both"/>
      </w:pPr>
      <w:r>
        <w:t>2.</w:t>
      </w:r>
      <w:r>
        <w:tab/>
        <w:t>Kinnitada  nimetatud detailplaneeringu asukohaskeem ja lähteseisukohad (lisa 1 ja 2), mis on käesoleva otsuse lahutamatud lisad.</w:t>
      </w:r>
    </w:p>
    <w:p w14:paraId="0E78A67B" w14:textId="77777777" w:rsidR="001B2C63" w:rsidRDefault="001B2C63" w:rsidP="001B2C63">
      <w:pPr>
        <w:jc w:val="both"/>
      </w:pPr>
      <w:r>
        <w:t>3.</w:t>
      </w:r>
      <w:r>
        <w:tab/>
        <w:t>Detailplaneeringu algatamise etapis ei ole teadaolevalt täiendavate uuringute vajadust ette näha.</w:t>
      </w:r>
    </w:p>
    <w:p w14:paraId="45976359" w14:textId="77777777" w:rsidR="001B2C63" w:rsidRDefault="001B2C63" w:rsidP="001B2C63">
      <w:pPr>
        <w:jc w:val="both"/>
      </w:pPr>
      <w:r>
        <w:lastRenderedPageBreak/>
        <w:t>4.</w:t>
      </w:r>
      <w:r>
        <w:tab/>
        <w:t>Majandusosakonnal korraldada koostamise algatamise teate avaldamine 14 päeva jooksul valla veebilehel  ja Ametlikes teadaannetes ning 30 päeva jooksul valla ajalehes ja Pärnu Postimehes planeeringu algatamisest arvates.</w:t>
      </w:r>
    </w:p>
    <w:p w14:paraId="5BCB1CAE" w14:textId="77777777" w:rsidR="001B2C63" w:rsidRDefault="001B2C63" w:rsidP="001B2C63">
      <w:pPr>
        <w:jc w:val="both"/>
      </w:pPr>
      <w:r>
        <w:t>5.</w:t>
      </w:r>
      <w:r>
        <w:tab/>
        <w:t>Otsust on õigus vaidlustada 30 päeva jooksul, arvates päevast, millal vaiet esitama õigustatud isik otsusest teada sai või oleks pidanud teada saama, esitades vaide Põhja-Pärnumaa Vallavolikogule haldusmenetluse seadusega vaidemenetlusele kehtestatud korras. Otsuse peale on kaebeõigusega isikul õigus esitada kaebus Tallinna Halduskohtule halduskohtumenetluse seadustiku §-s 46 sätestatud tähtaegadel ja halduskohtumenetluse seadustikus sätestatud korras.</w:t>
      </w:r>
    </w:p>
    <w:p w14:paraId="1A1826C4" w14:textId="77777777" w:rsidR="001B2C63" w:rsidRDefault="001B2C63" w:rsidP="001B2C63">
      <w:pPr>
        <w:jc w:val="both"/>
      </w:pPr>
      <w:r>
        <w:t>6.</w:t>
      </w:r>
      <w:r>
        <w:tab/>
        <w:t>Otsus jõustub teatavakstegemisest.</w:t>
      </w:r>
    </w:p>
    <w:p w14:paraId="2B93E1BB" w14:textId="77777777" w:rsidR="001B2C63" w:rsidRDefault="001B2C63" w:rsidP="001B2C63">
      <w:pPr>
        <w:jc w:val="both"/>
      </w:pPr>
    </w:p>
    <w:p w14:paraId="772F23B3" w14:textId="77777777" w:rsidR="00270605" w:rsidRDefault="00270605" w:rsidP="001B2C63">
      <w:pPr>
        <w:jc w:val="both"/>
      </w:pPr>
    </w:p>
    <w:sectPr w:rsidR="00270605" w:rsidSect="00B15CF3">
      <w:footerReference w:type="default" r:id="rId7"/>
      <w:headerReference w:type="first" r:id="rId8"/>
      <w:pgSz w:w="11906" w:h="16838" w:code="9"/>
      <w:pgMar w:top="1134" w:right="1134" w:bottom="1985"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5984" w14:textId="77777777" w:rsidR="001B2C63" w:rsidRDefault="001B2C63">
      <w:r>
        <w:separator/>
      </w:r>
    </w:p>
  </w:endnote>
  <w:endnote w:type="continuationSeparator" w:id="0">
    <w:p w14:paraId="41089A92" w14:textId="77777777" w:rsidR="001B2C63" w:rsidRDefault="001B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553E" w14:textId="77777777" w:rsidR="00D8291C" w:rsidRPr="00B15CF3" w:rsidRDefault="00D8291C">
    <w:pPr>
      <w:pStyle w:val="Jalus"/>
      <w:rPr>
        <w:sz w:val="18"/>
      </w:rPr>
    </w:pPr>
    <w:r w:rsidRPr="00B15CF3">
      <w:rPr>
        <w:sz w:val="18"/>
      </w:rPr>
      <w:fldChar w:fldCharType="begin"/>
    </w:r>
    <w:r w:rsidRPr="00B15CF3">
      <w:rPr>
        <w:sz w:val="18"/>
      </w:rPr>
      <w:instrText xml:space="preserve"> PAGE   \* MERGEFORMAT </w:instrText>
    </w:r>
    <w:r w:rsidRPr="00B15CF3">
      <w:rPr>
        <w:sz w:val="18"/>
      </w:rPr>
      <w:fldChar w:fldCharType="separate"/>
    </w:r>
    <w:r w:rsidR="00270605">
      <w:rPr>
        <w:noProof/>
        <w:sz w:val="18"/>
      </w:rPr>
      <w:t>3</w:t>
    </w:r>
    <w:r w:rsidRPr="00B15CF3">
      <w:rPr>
        <w:sz w:val="18"/>
      </w:rPr>
      <w:fldChar w:fldCharType="end"/>
    </w:r>
    <w:r w:rsidRPr="00B15CF3">
      <w:rPr>
        <w:sz w:val="18"/>
      </w:rPr>
      <w:t xml:space="preserve"> (</w:t>
    </w:r>
    <w:r w:rsidRPr="00B15CF3">
      <w:rPr>
        <w:sz w:val="18"/>
      </w:rPr>
      <w:fldChar w:fldCharType="begin"/>
    </w:r>
    <w:r w:rsidRPr="00B15CF3">
      <w:rPr>
        <w:sz w:val="18"/>
      </w:rPr>
      <w:instrText xml:space="preserve"> NUMPAGES   \* MERGEFORMAT </w:instrText>
    </w:r>
    <w:r w:rsidRPr="00B15CF3">
      <w:rPr>
        <w:sz w:val="18"/>
      </w:rPr>
      <w:fldChar w:fldCharType="separate"/>
    </w:r>
    <w:r w:rsidR="00270605">
      <w:rPr>
        <w:noProof/>
        <w:sz w:val="18"/>
      </w:rPr>
      <w:t>3</w:t>
    </w:r>
    <w:r w:rsidRPr="00B15CF3">
      <w:rPr>
        <w:sz w:val="18"/>
      </w:rPr>
      <w:fldChar w:fldCharType="end"/>
    </w:r>
    <w:r w:rsidRPr="00B15CF3">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FA4C9" w14:textId="77777777" w:rsidR="001B2C63" w:rsidRDefault="001B2C63">
      <w:r>
        <w:separator/>
      </w:r>
    </w:p>
  </w:footnote>
  <w:footnote w:type="continuationSeparator" w:id="0">
    <w:p w14:paraId="5E6C687E" w14:textId="77777777" w:rsidR="001B2C63" w:rsidRDefault="001B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CA46A" w14:textId="63A71D45" w:rsidR="00B15CF3" w:rsidRDefault="001B2C63">
    <w:r>
      <w:rPr>
        <w:noProof/>
        <w:lang w:eastAsia="et-EE"/>
      </w:rPr>
      <mc:AlternateContent>
        <mc:Choice Requires="wps">
          <w:drawing>
            <wp:anchor distT="0" distB="0" distL="114300" distR="114300" simplePos="0" relativeHeight="251657728" behindDoc="0" locked="1" layoutInCell="1" allowOverlap="1" wp14:anchorId="074944CB" wp14:editId="3AF1A72C">
              <wp:simplePos x="0" y="0"/>
              <wp:positionH relativeFrom="page">
                <wp:posOffset>4281170</wp:posOffset>
              </wp:positionH>
              <wp:positionV relativeFrom="page">
                <wp:posOffset>356235</wp:posOffset>
              </wp:positionV>
              <wp:extent cx="2971800" cy="1028700"/>
              <wp:effectExtent l="4445" t="3810" r="0" b="0"/>
              <wp:wrapNone/>
              <wp:docPr id="1838477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BAA3B" w14:textId="77777777" w:rsidR="003C6B75" w:rsidRPr="00406489" w:rsidRDefault="003C6B75" w:rsidP="003C6B75">
                          <w:pPr>
                            <w:jc w:val="right"/>
                            <w:rPr>
                              <w:sz w:val="20"/>
                              <w:szCs w:val="20"/>
                              <w:lang w:val="fi-FI"/>
                            </w:rPr>
                          </w:pPr>
                          <w:r>
                            <w:rPr>
                              <w:sz w:val="20"/>
                              <w:szCs w:val="20"/>
                              <w:lang w:val="fi-FI"/>
                            </w:rPr>
                            <w:t>EELNÕU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944CB" id="_x0000_t202" coordsize="21600,21600" o:spt="202" path="m,l,21600r21600,l21600,xe">
              <v:stroke joinstyle="miter"/>
              <v:path gradientshapeok="t" o:connecttype="rect"/>
            </v:shapetype>
            <v:shape id="Text Box 1" o:spid="_x0000_s1026" type="#_x0000_t202" style="position:absolute;margin-left:337.1pt;margin-top:28.05pt;width:234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" filled="f" stroked="f">
              <v:textbox>
                <w:txbxContent>
                  <w:p w14:paraId="6B7BAA3B" w14:textId="77777777" w:rsidR="003C6B75" w:rsidRPr="00406489" w:rsidRDefault="003C6B75" w:rsidP="003C6B75">
                    <w:pPr>
                      <w:jc w:val="right"/>
                      <w:rPr>
                        <w:sz w:val="20"/>
                        <w:szCs w:val="20"/>
                        <w:lang w:val="fi-FI"/>
                      </w:rPr>
                    </w:pPr>
                    <w:r>
                      <w:rPr>
                        <w:sz w:val="20"/>
                        <w:szCs w:val="20"/>
                        <w:lang w:val="fi-FI"/>
                      </w:rPr>
                      <w:t>EELNÕU</w:t>
                    </w:r>
                  </w:p>
                </w:txbxContent>
              </v:textbox>
              <w10:wrap anchorx="page" anchory="page"/>
              <w10:anchorlock/>
            </v:shape>
          </w:pict>
        </mc:Fallback>
      </mc:AlternateContent>
    </w:r>
  </w:p>
  <w:tbl>
    <w:tblPr>
      <w:tblW w:w="8782" w:type="dxa"/>
      <w:tblInd w:w="-1026" w:type="dxa"/>
      <w:tblLayout w:type="fixed"/>
      <w:tblLook w:val="04A0" w:firstRow="1" w:lastRow="0" w:firstColumn="1" w:lastColumn="0" w:noHBand="0" w:noVBand="1"/>
    </w:tblPr>
    <w:tblGrid>
      <w:gridCol w:w="1134"/>
      <w:gridCol w:w="7648"/>
    </w:tblGrid>
    <w:tr w:rsidR="006804B8" w:rsidRPr="001C4FA7" w14:paraId="7B200BF9" w14:textId="77777777">
      <w:tc>
        <w:tcPr>
          <w:tcW w:w="1134" w:type="dxa"/>
          <w:shd w:val="clear" w:color="auto" w:fill="auto"/>
          <w:vAlign w:val="center"/>
        </w:tcPr>
        <w:p w14:paraId="178C7AAF" w14:textId="5767F4F2" w:rsidR="006804B8" w:rsidRPr="001C4FA7" w:rsidRDefault="001B2C63" w:rsidP="006804B8">
          <w:pPr>
            <w:pStyle w:val="Pis"/>
            <w:rPr>
              <w:rFonts w:ascii="Tahoma" w:hAnsi="Tahoma" w:cs="Tahoma"/>
              <w:smallCaps/>
            </w:rPr>
          </w:pPr>
          <w:r>
            <w:rPr>
              <w:rFonts w:ascii="Tahoma" w:hAnsi="Tahoma" w:cs="Tahoma"/>
              <w:smallCaps/>
              <w:noProof/>
            </w:rPr>
            <w:drawing>
              <wp:inline distT="0" distB="0" distL="0" distR="0" wp14:anchorId="20E0CF41" wp14:editId="4BB0C44F">
                <wp:extent cx="504825" cy="6381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tc>
      <w:tc>
        <w:tcPr>
          <w:tcW w:w="7648" w:type="dxa"/>
          <w:shd w:val="clear" w:color="auto" w:fill="auto"/>
          <w:tcMar>
            <w:left w:w="0" w:type="dxa"/>
            <w:right w:w="0" w:type="dxa"/>
          </w:tcMar>
          <w:vAlign w:val="center"/>
        </w:tcPr>
        <w:p w14:paraId="034B4EF0" w14:textId="77777777" w:rsidR="006804B8" w:rsidRPr="001C4FA7" w:rsidRDefault="00F90529" w:rsidP="00327B36">
          <w:pPr>
            <w:pStyle w:val="Pis"/>
            <w:rPr>
              <w:rFonts w:ascii="Arial" w:hAnsi="Arial" w:cs="Arial"/>
              <w:b/>
            </w:rPr>
          </w:pPr>
          <w:r>
            <w:rPr>
              <w:rFonts w:ascii="Arial" w:hAnsi="Arial" w:cs="Arial"/>
              <w:b/>
              <w:smallCaps/>
            </w:rPr>
            <w:t>Põhja-Pärnumaa</w:t>
          </w:r>
          <w:r w:rsidR="006804B8" w:rsidRPr="001C4FA7">
            <w:rPr>
              <w:rFonts w:ascii="Arial" w:hAnsi="Arial" w:cs="Arial"/>
              <w:b/>
              <w:smallCaps/>
            </w:rPr>
            <w:t xml:space="preserve"> </w:t>
          </w:r>
          <w:r w:rsidR="00327B36" w:rsidRPr="001C4FA7">
            <w:rPr>
              <w:rFonts w:ascii="Arial" w:hAnsi="Arial" w:cs="Arial"/>
              <w:b/>
              <w:smallCaps/>
            </w:rPr>
            <w:t>vallavolikogu</w:t>
          </w:r>
        </w:p>
      </w:tc>
    </w:tr>
  </w:tbl>
  <w:p w14:paraId="177857E8" w14:textId="77777777" w:rsidR="006D0C83" w:rsidRPr="00B15CF3" w:rsidRDefault="006D0C83" w:rsidP="006804B8">
    <w:pPr>
      <w:pStyle w:val="Pis"/>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B7B9A"/>
    <w:multiLevelType w:val="hybridMultilevel"/>
    <w:tmpl w:val="0A5606BC"/>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29C94D77"/>
    <w:multiLevelType w:val="hybridMultilevel"/>
    <w:tmpl w:val="14F8E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701F3"/>
    <w:multiLevelType w:val="hybridMultilevel"/>
    <w:tmpl w:val="602CE7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052F7A"/>
    <w:multiLevelType w:val="hybridMultilevel"/>
    <w:tmpl w:val="94DA0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2120985">
    <w:abstractNumId w:val="2"/>
  </w:num>
  <w:num w:numId="2" w16cid:durableId="936446814">
    <w:abstractNumId w:val="0"/>
  </w:num>
  <w:num w:numId="3" w16cid:durableId="1470634626">
    <w:abstractNumId w:val="3"/>
  </w:num>
  <w:num w:numId="4" w16cid:durableId="84065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63"/>
    <w:rsid w:val="000132CD"/>
    <w:rsid w:val="0001422B"/>
    <w:rsid w:val="00055519"/>
    <w:rsid w:val="00065F0B"/>
    <w:rsid w:val="0008412D"/>
    <w:rsid w:val="000870C6"/>
    <w:rsid w:val="00087653"/>
    <w:rsid w:val="0009290C"/>
    <w:rsid w:val="000C6941"/>
    <w:rsid w:val="000F65DF"/>
    <w:rsid w:val="0011627B"/>
    <w:rsid w:val="001353B8"/>
    <w:rsid w:val="00160AA2"/>
    <w:rsid w:val="00177678"/>
    <w:rsid w:val="00186449"/>
    <w:rsid w:val="00195A61"/>
    <w:rsid w:val="001B2C63"/>
    <w:rsid w:val="001C4642"/>
    <w:rsid w:val="001C4FA7"/>
    <w:rsid w:val="001F7658"/>
    <w:rsid w:val="002044CE"/>
    <w:rsid w:val="00214A46"/>
    <w:rsid w:val="002266F5"/>
    <w:rsid w:val="00233082"/>
    <w:rsid w:val="00251479"/>
    <w:rsid w:val="00270605"/>
    <w:rsid w:val="002737C4"/>
    <w:rsid w:val="002864F2"/>
    <w:rsid w:val="002907F4"/>
    <w:rsid w:val="002B0F6B"/>
    <w:rsid w:val="002C0B0E"/>
    <w:rsid w:val="002C0E6B"/>
    <w:rsid w:val="002C2ECE"/>
    <w:rsid w:val="002C6F78"/>
    <w:rsid w:val="002D3993"/>
    <w:rsid w:val="002E003D"/>
    <w:rsid w:val="002E31AA"/>
    <w:rsid w:val="002F0784"/>
    <w:rsid w:val="00302CA4"/>
    <w:rsid w:val="00302E0A"/>
    <w:rsid w:val="00321FAB"/>
    <w:rsid w:val="0032637D"/>
    <w:rsid w:val="0032736A"/>
    <w:rsid w:val="00327B36"/>
    <w:rsid w:val="003443E2"/>
    <w:rsid w:val="00345A62"/>
    <w:rsid w:val="00346658"/>
    <w:rsid w:val="00351A0A"/>
    <w:rsid w:val="00352C7A"/>
    <w:rsid w:val="00363C34"/>
    <w:rsid w:val="00363CBD"/>
    <w:rsid w:val="0036709B"/>
    <w:rsid w:val="003742BF"/>
    <w:rsid w:val="0038298B"/>
    <w:rsid w:val="00393A7C"/>
    <w:rsid w:val="003A0340"/>
    <w:rsid w:val="003A1759"/>
    <w:rsid w:val="003A71F4"/>
    <w:rsid w:val="003C6B75"/>
    <w:rsid w:val="00406489"/>
    <w:rsid w:val="004134C6"/>
    <w:rsid w:val="00416A9A"/>
    <w:rsid w:val="00425E21"/>
    <w:rsid w:val="004313C5"/>
    <w:rsid w:val="00432BEB"/>
    <w:rsid w:val="00433173"/>
    <w:rsid w:val="00434389"/>
    <w:rsid w:val="00471CBE"/>
    <w:rsid w:val="00477B61"/>
    <w:rsid w:val="00487777"/>
    <w:rsid w:val="004B0C24"/>
    <w:rsid w:val="004D1899"/>
    <w:rsid w:val="004E41E5"/>
    <w:rsid w:val="004E4D4C"/>
    <w:rsid w:val="004F7A50"/>
    <w:rsid w:val="00512327"/>
    <w:rsid w:val="00521253"/>
    <w:rsid w:val="00522F27"/>
    <w:rsid w:val="00536C6C"/>
    <w:rsid w:val="005443AB"/>
    <w:rsid w:val="005476A7"/>
    <w:rsid w:val="00552A40"/>
    <w:rsid w:val="0056090E"/>
    <w:rsid w:val="00565661"/>
    <w:rsid w:val="00566370"/>
    <w:rsid w:val="005851C3"/>
    <w:rsid w:val="0059153F"/>
    <w:rsid w:val="0059649F"/>
    <w:rsid w:val="005B7381"/>
    <w:rsid w:val="005E5A3A"/>
    <w:rsid w:val="005F1BD6"/>
    <w:rsid w:val="00611E81"/>
    <w:rsid w:val="006804B8"/>
    <w:rsid w:val="006A1835"/>
    <w:rsid w:val="006A5B7E"/>
    <w:rsid w:val="006D0C83"/>
    <w:rsid w:val="006D69D7"/>
    <w:rsid w:val="00700C5A"/>
    <w:rsid w:val="0070773E"/>
    <w:rsid w:val="0072283C"/>
    <w:rsid w:val="007250F7"/>
    <w:rsid w:val="00771A76"/>
    <w:rsid w:val="00787BE4"/>
    <w:rsid w:val="007B1EBE"/>
    <w:rsid w:val="007C3568"/>
    <w:rsid w:val="007C76C1"/>
    <w:rsid w:val="007D2D43"/>
    <w:rsid w:val="007E7CD7"/>
    <w:rsid w:val="008021FA"/>
    <w:rsid w:val="00805C95"/>
    <w:rsid w:val="00816478"/>
    <w:rsid w:val="008340D7"/>
    <w:rsid w:val="008518A0"/>
    <w:rsid w:val="00864C66"/>
    <w:rsid w:val="0086620A"/>
    <w:rsid w:val="00880494"/>
    <w:rsid w:val="008845D2"/>
    <w:rsid w:val="00890717"/>
    <w:rsid w:val="0089368A"/>
    <w:rsid w:val="008B64E5"/>
    <w:rsid w:val="008E7664"/>
    <w:rsid w:val="008F6994"/>
    <w:rsid w:val="00912587"/>
    <w:rsid w:val="00912F03"/>
    <w:rsid w:val="0093403F"/>
    <w:rsid w:val="009351F8"/>
    <w:rsid w:val="0093571A"/>
    <w:rsid w:val="0094015F"/>
    <w:rsid w:val="00956A14"/>
    <w:rsid w:val="00966F3D"/>
    <w:rsid w:val="00966F87"/>
    <w:rsid w:val="009972CF"/>
    <w:rsid w:val="009B55D1"/>
    <w:rsid w:val="009B7261"/>
    <w:rsid w:val="009F158B"/>
    <w:rsid w:val="009F2329"/>
    <w:rsid w:val="009F5119"/>
    <w:rsid w:val="00A04281"/>
    <w:rsid w:val="00A12251"/>
    <w:rsid w:val="00A90A36"/>
    <w:rsid w:val="00AA2A42"/>
    <w:rsid w:val="00AA32C2"/>
    <w:rsid w:val="00AB71A1"/>
    <w:rsid w:val="00AC0C03"/>
    <w:rsid w:val="00AC1D4E"/>
    <w:rsid w:val="00AC6AED"/>
    <w:rsid w:val="00AE43A3"/>
    <w:rsid w:val="00AF2B3A"/>
    <w:rsid w:val="00AF3351"/>
    <w:rsid w:val="00B01252"/>
    <w:rsid w:val="00B06703"/>
    <w:rsid w:val="00B15CF3"/>
    <w:rsid w:val="00B25722"/>
    <w:rsid w:val="00B2666E"/>
    <w:rsid w:val="00B30CC2"/>
    <w:rsid w:val="00B32863"/>
    <w:rsid w:val="00B52432"/>
    <w:rsid w:val="00B71540"/>
    <w:rsid w:val="00B91EAF"/>
    <w:rsid w:val="00BA303B"/>
    <w:rsid w:val="00BA770E"/>
    <w:rsid w:val="00BB4B88"/>
    <w:rsid w:val="00BC352F"/>
    <w:rsid w:val="00BD7A4A"/>
    <w:rsid w:val="00C267C7"/>
    <w:rsid w:val="00C315A6"/>
    <w:rsid w:val="00C43AB5"/>
    <w:rsid w:val="00C6233E"/>
    <w:rsid w:val="00C75C52"/>
    <w:rsid w:val="00C76A0A"/>
    <w:rsid w:val="00C851E1"/>
    <w:rsid w:val="00C85899"/>
    <w:rsid w:val="00CD0EE5"/>
    <w:rsid w:val="00CE0E47"/>
    <w:rsid w:val="00CE1211"/>
    <w:rsid w:val="00CE1638"/>
    <w:rsid w:val="00CE1A12"/>
    <w:rsid w:val="00CF0D73"/>
    <w:rsid w:val="00D1002E"/>
    <w:rsid w:val="00D108E2"/>
    <w:rsid w:val="00D30944"/>
    <w:rsid w:val="00D41F70"/>
    <w:rsid w:val="00D812E6"/>
    <w:rsid w:val="00D8231D"/>
    <w:rsid w:val="00D8291C"/>
    <w:rsid w:val="00D83A4F"/>
    <w:rsid w:val="00D9096B"/>
    <w:rsid w:val="00D92209"/>
    <w:rsid w:val="00DC4D9C"/>
    <w:rsid w:val="00DD14B7"/>
    <w:rsid w:val="00DE793A"/>
    <w:rsid w:val="00E92E55"/>
    <w:rsid w:val="00E97029"/>
    <w:rsid w:val="00EB7105"/>
    <w:rsid w:val="00ED59D8"/>
    <w:rsid w:val="00ED6E22"/>
    <w:rsid w:val="00ED791B"/>
    <w:rsid w:val="00EE1F41"/>
    <w:rsid w:val="00EE7215"/>
    <w:rsid w:val="00F1324A"/>
    <w:rsid w:val="00F13F6E"/>
    <w:rsid w:val="00F21276"/>
    <w:rsid w:val="00F2421A"/>
    <w:rsid w:val="00F35C42"/>
    <w:rsid w:val="00F40A91"/>
    <w:rsid w:val="00F538BD"/>
    <w:rsid w:val="00F65A5C"/>
    <w:rsid w:val="00F6694E"/>
    <w:rsid w:val="00F7461F"/>
    <w:rsid w:val="00F83646"/>
    <w:rsid w:val="00F90529"/>
    <w:rsid w:val="00F907E9"/>
    <w:rsid w:val="00FA310C"/>
    <w:rsid w:val="00FA6059"/>
    <w:rsid w:val="00FA78BB"/>
    <w:rsid w:val="00FB678A"/>
    <w:rsid w:val="00FC4711"/>
    <w:rsid w:val="00FC7CFC"/>
    <w:rsid w:val="00FE1337"/>
    <w:rsid w:val="00FE234E"/>
    <w:rsid w:val="00FF7B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F99BC"/>
  <w15:chartTrackingRefBased/>
  <w15:docId w15:val="{C4E0B3E1-2FDA-44D8-9BEB-376FFA86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2736A"/>
    <w:rPr>
      <w:rFonts w:eastAsia="Calibri"/>
      <w:sz w:val="24"/>
      <w:szCs w:val="24"/>
      <w:lang w:eastAsia="en-US"/>
    </w:rPr>
  </w:style>
  <w:style w:type="paragraph" w:styleId="Pealkiri1">
    <w:name w:val="heading 1"/>
    <w:basedOn w:val="Normaallaad"/>
    <w:next w:val="Normaallaad"/>
    <w:qFormat/>
    <w:rsid w:val="0089368A"/>
    <w:pPr>
      <w:keepNext/>
      <w:outlineLvl w:val="0"/>
    </w:pPr>
    <w:rPr>
      <w:rFonts w:eastAsia="Times New Roman"/>
      <w:szCs w:val="20"/>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paragraph" w:styleId="Pis">
    <w:name w:val="header"/>
    <w:basedOn w:val="Normaallaad"/>
    <w:rsid w:val="00432BEB"/>
    <w:pPr>
      <w:tabs>
        <w:tab w:val="center" w:pos="4536"/>
        <w:tab w:val="right" w:pos="9072"/>
      </w:tabs>
    </w:pPr>
  </w:style>
  <w:style w:type="paragraph" w:styleId="Jalus">
    <w:name w:val="footer"/>
    <w:basedOn w:val="Normaallaad"/>
    <w:rsid w:val="00432BEB"/>
    <w:pPr>
      <w:tabs>
        <w:tab w:val="center" w:pos="4536"/>
        <w:tab w:val="right" w:pos="9072"/>
      </w:tabs>
    </w:pPr>
  </w:style>
  <w:style w:type="character" w:styleId="Hperlink">
    <w:name w:val="Hyperlink"/>
    <w:rsid w:val="00432BEB"/>
    <w:rPr>
      <w:color w:val="0000FF"/>
      <w:u w:val="single"/>
    </w:rPr>
  </w:style>
  <w:style w:type="character" w:customStyle="1" w:styleId="skypepnhtextspan">
    <w:name w:val="skype_pnh_text_span"/>
    <w:basedOn w:val="Liguvaikefont"/>
    <w:rsid w:val="002864F2"/>
  </w:style>
  <w:style w:type="character" w:customStyle="1" w:styleId="skypepnhrightspan">
    <w:name w:val="skype_pnh_right_span"/>
    <w:basedOn w:val="Liguvaikefont"/>
    <w:rsid w:val="002864F2"/>
  </w:style>
  <w:style w:type="paragraph" w:styleId="Normaallaadveeb">
    <w:name w:val="Normal (Web)"/>
    <w:basedOn w:val="Normaallaad"/>
    <w:rsid w:val="00B06703"/>
    <w:pPr>
      <w:spacing w:before="100" w:beforeAutospacing="1" w:after="119"/>
    </w:pPr>
    <w:rPr>
      <w:rFonts w:eastAsia="Times New Roman"/>
      <w:lang w:val="en-US"/>
    </w:rPr>
  </w:style>
  <w:style w:type="paragraph" w:styleId="Kehatekst">
    <w:name w:val="Body Text"/>
    <w:basedOn w:val="Normaallaad"/>
    <w:link w:val="KehatekstMrk"/>
    <w:rsid w:val="00B91EAF"/>
    <w:pPr>
      <w:spacing w:after="120" w:line="276" w:lineRule="auto"/>
    </w:pPr>
    <w:rPr>
      <w:rFonts w:ascii="Calibri" w:eastAsia="Times New Roman" w:hAnsi="Calibri"/>
      <w:sz w:val="22"/>
      <w:szCs w:val="22"/>
    </w:rPr>
  </w:style>
  <w:style w:type="character" w:customStyle="1" w:styleId="KehatekstMrk">
    <w:name w:val="Kehatekst Märk"/>
    <w:link w:val="Kehatekst"/>
    <w:semiHidden/>
    <w:locked/>
    <w:rsid w:val="00B91EAF"/>
    <w:rPr>
      <w:rFonts w:ascii="Calibri" w:hAnsi="Calibri"/>
      <w:sz w:val="22"/>
      <w:szCs w:val="22"/>
      <w:lang w:val="et-EE" w:eastAsia="en-US" w:bidi="ar-SA"/>
    </w:rPr>
  </w:style>
  <w:style w:type="table" w:styleId="Kontuurtabel">
    <w:name w:val="Table Grid"/>
    <w:basedOn w:val="Normaaltabel"/>
    <w:rsid w:val="006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C76A0A"/>
    <w:rPr>
      <w:rFonts w:ascii="Segoe UI" w:hAnsi="Segoe UI" w:cs="Segoe UI"/>
      <w:sz w:val="18"/>
      <w:szCs w:val="18"/>
    </w:rPr>
  </w:style>
  <w:style w:type="character" w:customStyle="1" w:styleId="JutumullitekstMrk">
    <w:name w:val="Jutumullitekst Märk"/>
    <w:link w:val="Jutumullitekst"/>
    <w:rsid w:val="00C76A0A"/>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007495">
      <w:bodyDiv w:val="1"/>
      <w:marLeft w:val="0"/>
      <w:marRight w:val="0"/>
      <w:marTop w:val="0"/>
      <w:marBottom w:val="0"/>
      <w:divBdr>
        <w:top w:val="none" w:sz="0" w:space="0" w:color="auto"/>
        <w:left w:val="none" w:sz="0" w:space="0" w:color="auto"/>
        <w:bottom w:val="none" w:sz="0" w:space="0" w:color="auto"/>
        <w:right w:val="none" w:sz="0" w:space="0" w:color="auto"/>
      </w:divBdr>
    </w:div>
    <w:div w:id="266471781">
      <w:bodyDiv w:val="1"/>
      <w:marLeft w:val="0"/>
      <w:marRight w:val="0"/>
      <w:marTop w:val="0"/>
      <w:marBottom w:val="0"/>
      <w:divBdr>
        <w:top w:val="none" w:sz="0" w:space="0" w:color="auto"/>
        <w:left w:val="none" w:sz="0" w:space="0" w:color="auto"/>
        <w:bottom w:val="none" w:sz="0" w:space="0" w:color="auto"/>
        <w:right w:val="none" w:sz="0" w:space="0" w:color="auto"/>
      </w:divBdr>
    </w:div>
    <w:div w:id="351611387">
      <w:bodyDiv w:val="1"/>
      <w:marLeft w:val="0"/>
      <w:marRight w:val="0"/>
      <w:marTop w:val="0"/>
      <w:marBottom w:val="0"/>
      <w:divBdr>
        <w:top w:val="none" w:sz="0" w:space="0" w:color="auto"/>
        <w:left w:val="none" w:sz="0" w:space="0" w:color="auto"/>
        <w:bottom w:val="none" w:sz="0" w:space="0" w:color="auto"/>
        <w:right w:val="none" w:sz="0" w:space="0" w:color="auto"/>
      </w:divBdr>
    </w:div>
    <w:div w:id="4676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Majandus\Nimelised\Reet%20Olev\KIRJAD\Volikogu%20&#252;ldplank.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Volikogu üldplank</Template>
  <TotalTime>2</TotalTime>
  <Pages>3</Pages>
  <Words>943</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Olev</dc:creator>
  <cp:keywords/>
  <dc:description/>
  <cp:lastModifiedBy>Reet Olev</cp:lastModifiedBy>
  <cp:revision>1</cp:revision>
  <cp:lastPrinted>2016-12-29T07:15:00Z</cp:lastPrinted>
  <dcterms:created xsi:type="dcterms:W3CDTF">2025-03-27T08:45:00Z</dcterms:created>
  <dcterms:modified xsi:type="dcterms:W3CDTF">2025-03-27T08:48:00Z</dcterms:modified>
</cp:coreProperties>
</file>